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440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70"/>
        <w:gridCol w:w="5580"/>
        <w:gridCol w:w="990"/>
        <w:gridCol w:w="990"/>
        <w:gridCol w:w="990"/>
        <w:gridCol w:w="3060"/>
      </w:tblGrid>
      <w:tr w:rsidR="008529AF" w14:paraId="3F2DFA90" w14:textId="77777777" w:rsidTr="00BD7206">
        <w:trPr>
          <w:trHeight w:val="880"/>
          <w:tblHeader/>
        </w:trPr>
        <w:tc>
          <w:tcPr>
            <w:tcW w:w="720" w:type="dxa"/>
            <w:shd w:val="clear" w:color="auto" w:fill="auto"/>
            <w:vAlign w:val="center"/>
          </w:tcPr>
          <w:p w14:paraId="0CB45D01" w14:textId="77777777" w:rsidR="008529AF" w:rsidRDefault="008529AF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207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60A442" w14:textId="33010A96" w:rsidR="008529AF" w:rsidRDefault="001C695C">
            <w:pPr>
              <w:keepLines/>
              <w:spacing w:before="40" w:after="40"/>
              <w:ind w:left="-54" w:right="-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Responsible / Commenting Party</w:t>
            </w:r>
            <w:r w:rsidR="00995F2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995F23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="00995F23"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(PG&amp;E, </w:t>
            </w:r>
            <w:proofErr w:type="spellStart"/>
            <w:r w:rsidR="00995F23">
              <w:rPr>
                <w:rFonts w:ascii="Arial" w:eastAsia="Arial" w:hAnsi="Arial" w:cs="Arial"/>
                <w:b/>
                <w:sz w:val="18"/>
                <w:szCs w:val="18"/>
              </w:rPr>
              <w:t>HWT</w:t>
            </w:r>
            <w:proofErr w:type="spellEnd"/>
            <w:r w:rsidR="00995F23">
              <w:rPr>
                <w:rFonts w:ascii="Arial" w:eastAsia="Arial" w:hAnsi="Arial" w:cs="Arial"/>
                <w:b/>
                <w:sz w:val="18"/>
                <w:szCs w:val="18"/>
              </w:rPr>
              <w:t>, or CAISO)</w:t>
            </w:r>
            <w:r w:rsidR="00995F23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5580" w:type="dxa"/>
            <w:shd w:val="clear" w:color="auto" w:fill="auto"/>
            <w:tcMar>
              <w:left w:w="58" w:type="dxa"/>
              <w:right w:w="43" w:type="dxa"/>
            </w:tcMar>
            <w:vAlign w:val="center"/>
          </w:tcPr>
          <w:p w14:paraId="488FFEAE" w14:textId="77777777" w:rsidR="008529AF" w:rsidRDefault="008529AF" w:rsidP="004518DA">
            <w:pPr>
              <w:keepLines/>
              <w:tabs>
                <w:tab w:val="center" w:pos="2500"/>
                <w:tab w:val="right" w:pos="5001"/>
              </w:tabs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Data Request Item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2A3586" w14:textId="77777777" w:rsidR="008529AF" w:rsidRDefault="008529AF">
            <w:pPr>
              <w:keepLines/>
              <w:tabs>
                <w:tab w:val="left" w:pos="810"/>
              </w:tabs>
              <w:spacing w:before="40" w:after="40"/>
              <w:ind w:left="-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Request Date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542721" w14:textId="77777777" w:rsidR="008529AF" w:rsidRDefault="008529AF">
            <w:pPr>
              <w:keepLines/>
              <w:tabs>
                <w:tab w:val="left" w:pos="810"/>
              </w:tabs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Reply Date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6DE178" w14:textId="77777777" w:rsidR="008529AF" w:rsidRDefault="008529AF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Status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E6FB98C" w14:textId="77777777" w:rsidR="008529AF" w:rsidRDefault="008529AF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Follow-Up Request</w:t>
            </w:r>
          </w:p>
        </w:tc>
      </w:tr>
      <w:tr w:rsidR="0075340D" w14:paraId="37E22A40" w14:textId="77777777" w:rsidTr="00BD7206"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</w:tcPr>
          <w:p w14:paraId="4E9D4867" w14:textId="7339EB12" w:rsidR="0075340D" w:rsidRDefault="0075340D" w:rsidP="0075340D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070" w:type="dxa"/>
            <w:shd w:val="clear" w:color="auto" w:fill="auto"/>
            <w:tcMar>
              <w:left w:w="43" w:type="dxa"/>
              <w:right w:w="43" w:type="dxa"/>
            </w:tcMar>
          </w:tcPr>
          <w:p w14:paraId="02EF7529" w14:textId="20C9F478" w:rsidR="0075340D" w:rsidRPr="00995F23" w:rsidRDefault="0075340D" w:rsidP="0075340D">
            <w:pPr>
              <w:keepLines/>
              <w:spacing w:before="40" w:after="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95F23">
              <w:rPr>
                <w:rFonts w:ascii="Calibri" w:eastAsia="Calibri" w:hAnsi="Calibri" w:cs="Calibri"/>
                <w:b/>
                <w:sz w:val="20"/>
                <w:szCs w:val="20"/>
              </w:rPr>
              <w:t>Pacific Gas &amp; Electric Company (PG&amp;E)</w:t>
            </w:r>
          </w:p>
        </w:tc>
        <w:tc>
          <w:tcPr>
            <w:tcW w:w="5580" w:type="dxa"/>
            <w:shd w:val="clear" w:color="auto" w:fill="auto"/>
            <w:tcMar>
              <w:left w:w="58" w:type="dxa"/>
              <w:right w:w="43" w:type="dxa"/>
            </w:tcMar>
          </w:tcPr>
          <w:p w14:paraId="376E52ED" w14:textId="44633A77" w:rsidR="0075340D" w:rsidRPr="001C695C" w:rsidRDefault="0075340D" w:rsidP="0075340D">
            <w:pPr>
              <w:spacing w:before="40" w:after="40" w:line="259" w:lineRule="auto"/>
              <w:rPr>
                <w:rFonts w:asciiTheme="majorHAnsi" w:hAnsiTheme="majorHAnsi" w:cstheme="majorHAnsi"/>
                <w:sz w:val="20"/>
              </w:rPr>
            </w:pPr>
            <w:r w:rsidRPr="001C695C">
              <w:rPr>
                <w:rFonts w:asciiTheme="majorHAnsi" w:hAnsiTheme="majorHAnsi" w:cstheme="majorHAnsi"/>
                <w:sz w:val="20"/>
              </w:rPr>
              <w:t xml:space="preserve">PG&amp;E contends that the restoration time for a </w:t>
            </w:r>
            <w:proofErr w:type="gramStart"/>
            <w:r w:rsidRPr="001C695C">
              <w:rPr>
                <w:rFonts w:asciiTheme="majorHAnsi" w:hAnsiTheme="majorHAnsi" w:cstheme="majorHAnsi"/>
                <w:sz w:val="20"/>
              </w:rPr>
              <w:t>70 kV</w:t>
            </w:r>
            <w:proofErr w:type="gramEnd"/>
            <w:r w:rsidRPr="001C695C">
              <w:rPr>
                <w:rFonts w:asciiTheme="majorHAnsi" w:hAnsiTheme="majorHAnsi" w:cstheme="majorHAnsi"/>
                <w:sz w:val="20"/>
              </w:rPr>
              <w:t xml:space="preserve"> line outage is a minimum of 24 hours. </w:t>
            </w:r>
            <w:r w:rsidR="00B55524">
              <w:rPr>
                <w:rFonts w:asciiTheme="majorHAnsi" w:hAnsiTheme="majorHAnsi" w:cstheme="majorHAnsi"/>
                <w:sz w:val="20"/>
              </w:rPr>
              <w:t xml:space="preserve">The </w:t>
            </w:r>
            <w:r w:rsidR="007F0CB4">
              <w:rPr>
                <w:rFonts w:asciiTheme="majorHAnsi" w:hAnsiTheme="majorHAnsi" w:cstheme="majorHAnsi"/>
                <w:sz w:val="20"/>
              </w:rPr>
              <w:t>Draft ASR accounted for th</w:t>
            </w:r>
            <w:r w:rsidR="00B55524">
              <w:rPr>
                <w:rFonts w:asciiTheme="majorHAnsi" w:hAnsiTheme="majorHAnsi" w:cstheme="majorHAnsi"/>
                <w:sz w:val="20"/>
              </w:rPr>
              <w:t>is</w:t>
            </w:r>
            <w:r w:rsidR="007F0CB4">
              <w:rPr>
                <w:rFonts w:asciiTheme="majorHAnsi" w:hAnsiTheme="majorHAnsi" w:cstheme="majorHAnsi"/>
                <w:sz w:val="20"/>
              </w:rPr>
              <w:t xml:space="preserve"> possibility</w:t>
            </w:r>
            <w:r w:rsidR="00B55524">
              <w:rPr>
                <w:rFonts w:asciiTheme="majorHAnsi" w:hAnsiTheme="majorHAnsi" w:cstheme="majorHAnsi"/>
                <w:sz w:val="20"/>
              </w:rPr>
              <w:t xml:space="preserve">, but our assumption is that this would be </w:t>
            </w:r>
            <w:r w:rsidR="00B55524" w:rsidRPr="001C695C">
              <w:rPr>
                <w:rFonts w:asciiTheme="majorHAnsi" w:hAnsiTheme="majorHAnsi" w:cstheme="majorHAnsi"/>
                <w:sz w:val="20"/>
              </w:rPr>
              <w:t>a</w:t>
            </w:r>
            <w:r w:rsidR="00B55524">
              <w:rPr>
                <w:rFonts w:asciiTheme="majorHAnsi" w:hAnsiTheme="majorHAnsi" w:cstheme="majorHAnsi"/>
                <w:sz w:val="20"/>
              </w:rPr>
              <w:t>n extensive</w:t>
            </w:r>
            <w:r w:rsidR="00B55524">
              <w:rPr>
                <w:rFonts w:asciiTheme="majorHAnsi" w:hAnsiTheme="majorHAnsi" w:cstheme="majorHAnsi"/>
                <w:sz w:val="20"/>
              </w:rPr>
              <w:t xml:space="preserve"> and unlikely outage duration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. </w:t>
            </w:r>
            <w:r>
              <w:rPr>
                <w:rFonts w:asciiTheme="majorHAnsi" w:hAnsiTheme="majorHAnsi" w:cstheme="majorHAnsi"/>
                <w:sz w:val="20"/>
              </w:rPr>
              <w:t>The California Independent System Operator (</w:t>
            </w:r>
            <w:r w:rsidRPr="001C695C">
              <w:rPr>
                <w:rFonts w:asciiTheme="majorHAnsi" w:hAnsiTheme="majorHAnsi" w:cstheme="majorHAnsi"/>
                <w:sz w:val="20"/>
              </w:rPr>
              <w:t>CAISO</w:t>
            </w:r>
            <w:r>
              <w:rPr>
                <w:rFonts w:asciiTheme="majorHAnsi" w:hAnsiTheme="majorHAnsi" w:cstheme="majorHAnsi"/>
                <w:sz w:val="20"/>
              </w:rPr>
              <w:t>)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 suggest</w:t>
            </w:r>
            <w:r w:rsidR="007F0CB4">
              <w:rPr>
                <w:rFonts w:asciiTheme="majorHAnsi" w:hAnsiTheme="majorHAnsi" w:cstheme="majorHAnsi"/>
                <w:sz w:val="20"/>
              </w:rPr>
              <w:t>s that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 the restoration time </w:t>
            </w:r>
            <w:r w:rsidR="00B55524">
              <w:rPr>
                <w:rFonts w:asciiTheme="majorHAnsi" w:hAnsiTheme="majorHAnsi" w:cstheme="majorHAnsi"/>
                <w:sz w:val="20"/>
              </w:rPr>
              <w:t xml:space="preserve">typically might be </w:t>
            </w:r>
            <w:r w:rsidR="007F0CB4">
              <w:rPr>
                <w:rFonts w:asciiTheme="majorHAnsi" w:hAnsiTheme="majorHAnsi" w:cstheme="majorHAnsi"/>
                <w:sz w:val="20"/>
              </w:rPr>
              <w:t xml:space="preserve">closer to </w:t>
            </w:r>
            <w:r w:rsidRPr="001C695C">
              <w:rPr>
                <w:rFonts w:asciiTheme="majorHAnsi" w:hAnsiTheme="majorHAnsi" w:cstheme="majorHAnsi"/>
                <w:sz w:val="20"/>
              </w:rPr>
              <w:t>10 to 12 hours</w:t>
            </w:r>
            <w:r w:rsidR="007F0CB4">
              <w:rPr>
                <w:rFonts w:asciiTheme="majorHAnsi" w:hAnsiTheme="majorHAnsi" w:cstheme="majorHAnsi"/>
                <w:sz w:val="20"/>
              </w:rPr>
              <w:t xml:space="preserve"> (see attached CAISO comment</w:t>
            </w:r>
            <w:r w:rsidR="00B55524">
              <w:rPr>
                <w:rFonts w:asciiTheme="majorHAnsi" w:hAnsiTheme="majorHAnsi" w:cstheme="majorHAnsi"/>
                <w:sz w:val="20"/>
              </w:rPr>
              <w:t>s</w:t>
            </w:r>
            <w:r w:rsidR="007F0CB4">
              <w:rPr>
                <w:rFonts w:asciiTheme="majorHAnsi" w:hAnsiTheme="majorHAnsi" w:cstheme="majorHAnsi"/>
                <w:sz w:val="20"/>
              </w:rPr>
              <w:t>)</w:t>
            </w:r>
            <w:r w:rsidRPr="001C695C">
              <w:rPr>
                <w:rFonts w:asciiTheme="majorHAnsi" w:hAnsiTheme="majorHAnsi" w:cstheme="majorHAnsi"/>
                <w:sz w:val="20"/>
              </w:rPr>
              <w:t>. Please provide evidence supporting PG&amp;E</w:t>
            </w:r>
            <w:r w:rsidR="00F16EE6">
              <w:rPr>
                <w:rFonts w:asciiTheme="majorHAnsi" w:hAnsiTheme="majorHAnsi" w:cstheme="majorHAnsi"/>
                <w:sz w:val="20"/>
              </w:rPr>
              <w:t>’s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 restoration time estimate of </w:t>
            </w:r>
            <w:r w:rsidR="007F0CB4">
              <w:rPr>
                <w:rFonts w:asciiTheme="majorHAnsi" w:hAnsiTheme="majorHAnsi" w:cstheme="majorHAnsi"/>
                <w:sz w:val="20"/>
              </w:rPr>
              <w:t xml:space="preserve">a “minimum” of 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24 hours to restore a </w:t>
            </w:r>
            <w:proofErr w:type="gramStart"/>
            <w:r w:rsidRPr="001C695C">
              <w:rPr>
                <w:rFonts w:asciiTheme="majorHAnsi" w:hAnsiTheme="majorHAnsi" w:cstheme="majorHAnsi"/>
                <w:sz w:val="20"/>
              </w:rPr>
              <w:t>70 kV</w:t>
            </w:r>
            <w:proofErr w:type="gramEnd"/>
            <w:r w:rsidRPr="001C695C">
              <w:rPr>
                <w:rFonts w:asciiTheme="majorHAnsi" w:hAnsiTheme="majorHAnsi" w:cstheme="majorHAnsi"/>
                <w:sz w:val="20"/>
              </w:rPr>
              <w:t xml:space="preserve"> line outage. Evidence should include a record of local (Paso Robles </w:t>
            </w:r>
            <w:r>
              <w:rPr>
                <w:rFonts w:asciiTheme="majorHAnsi" w:hAnsiTheme="majorHAnsi" w:cstheme="majorHAnsi"/>
                <w:sz w:val="20"/>
              </w:rPr>
              <w:t>Distribution Planning Area</w:t>
            </w:r>
            <w:r w:rsidRPr="001C695C">
              <w:rPr>
                <w:rFonts w:asciiTheme="majorHAnsi" w:hAnsiTheme="majorHAnsi" w:cstheme="majorHAnsi"/>
                <w:sz w:val="20"/>
              </w:rPr>
              <w:t>) and system</w:t>
            </w:r>
            <w:r>
              <w:rPr>
                <w:rFonts w:asciiTheme="majorHAnsi" w:hAnsiTheme="majorHAnsi" w:cstheme="majorHAnsi"/>
                <w:sz w:val="20"/>
              </w:rPr>
              <w:t>-</w:t>
            </w:r>
            <w:r w:rsidRPr="001C695C">
              <w:rPr>
                <w:rFonts w:asciiTheme="majorHAnsi" w:hAnsiTheme="majorHAnsi" w:cstheme="majorHAnsi"/>
                <w:sz w:val="20"/>
              </w:rPr>
              <w:t>wide restoration times for 70 kV facilities along with description of the outage</w:t>
            </w:r>
            <w:r w:rsidR="00B55524">
              <w:rPr>
                <w:rFonts w:asciiTheme="majorHAnsi" w:hAnsiTheme="majorHAnsi" w:cstheme="majorHAnsi"/>
                <w:sz w:val="20"/>
              </w:rPr>
              <w:t>s</w:t>
            </w:r>
            <w:r w:rsidRPr="001C695C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1E702E4F" w14:textId="29BA7607" w:rsidR="0075340D" w:rsidRPr="00AF3856" w:rsidRDefault="0075340D" w:rsidP="0075340D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5/21/19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50AD5FDE" w14:textId="77777777" w:rsidR="0075340D" w:rsidRDefault="0075340D" w:rsidP="0075340D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left w:w="43" w:type="dxa"/>
              <w:right w:w="14" w:type="dxa"/>
            </w:tcMar>
          </w:tcPr>
          <w:p w14:paraId="2643B951" w14:textId="77777777" w:rsidR="0075340D" w:rsidRDefault="0075340D" w:rsidP="0075340D">
            <w:pPr>
              <w:keepLines/>
              <w:spacing w:before="40" w:after="40"/>
              <w:ind w:left="-36" w:right="-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0F2920F6" w14:textId="77777777" w:rsidR="0075340D" w:rsidRDefault="0075340D" w:rsidP="0075340D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340D" w14:paraId="3D64A043" w14:textId="77777777" w:rsidTr="00BD7206"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</w:tcPr>
          <w:p w14:paraId="19E8737C" w14:textId="709905ED" w:rsidR="0075340D" w:rsidRDefault="0075340D" w:rsidP="0075340D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070" w:type="dxa"/>
            <w:shd w:val="clear" w:color="auto" w:fill="auto"/>
            <w:tcMar>
              <w:left w:w="43" w:type="dxa"/>
              <w:right w:w="43" w:type="dxa"/>
            </w:tcMar>
          </w:tcPr>
          <w:p w14:paraId="05A323FB" w14:textId="6BBC9890" w:rsidR="0075340D" w:rsidRPr="00995F23" w:rsidRDefault="0075340D" w:rsidP="0075340D">
            <w:pPr>
              <w:keepLines/>
              <w:spacing w:before="40" w:after="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95F23">
              <w:rPr>
                <w:rFonts w:ascii="Calibri" w:eastAsia="Calibri" w:hAnsi="Calibri" w:cs="Calibri"/>
                <w:b/>
                <w:sz w:val="20"/>
                <w:szCs w:val="20"/>
              </w:rPr>
              <w:t>PG&amp;E</w:t>
            </w:r>
          </w:p>
        </w:tc>
        <w:tc>
          <w:tcPr>
            <w:tcW w:w="5580" w:type="dxa"/>
            <w:shd w:val="clear" w:color="auto" w:fill="auto"/>
            <w:tcMar>
              <w:left w:w="58" w:type="dxa"/>
              <w:right w:w="43" w:type="dxa"/>
            </w:tcMar>
          </w:tcPr>
          <w:p w14:paraId="5EA8160B" w14:textId="18C24104" w:rsidR="0075340D" w:rsidRPr="001C695C" w:rsidRDefault="0075340D" w:rsidP="0075340D">
            <w:pPr>
              <w:spacing w:before="40" w:after="40" w:line="259" w:lineRule="auto"/>
              <w:rPr>
                <w:rFonts w:asciiTheme="majorHAnsi" w:hAnsiTheme="majorHAnsi" w:cstheme="majorHAnsi"/>
                <w:sz w:val="20"/>
              </w:rPr>
            </w:pPr>
            <w:r w:rsidRPr="001C695C">
              <w:rPr>
                <w:rFonts w:asciiTheme="majorHAnsi" w:hAnsiTheme="majorHAnsi" w:cstheme="majorHAnsi"/>
                <w:sz w:val="20"/>
              </w:rPr>
              <w:t>PG&amp;E agree</w:t>
            </w:r>
            <w:r w:rsidR="00B55524">
              <w:rPr>
                <w:rFonts w:asciiTheme="majorHAnsi" w:hAnsiTheme="majorHAnsi" w:cstheme="majorHAnsi"/>
                <w:sz w:val="20"/>
              </w:rPr>
              <w:t>s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 with the </w:t>
            </w:r>
            <w:r w:rsidR="00527584">
              <w:rPr>
                <w:rFonts w:asciiTheme="majorHAnsi" w:hAnsiTheme="majorHAnsi" w:cstheme="majorHAnsi"/>
                <w:sz w:val="20"/>
              </w:rPr>
              <w:t xml:space="preserve">Draft ASR 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analysis </w:t>
            </w:r>
            <w:r w:rsidR="00527584">
              <w:rPr>
                <w:rFonts w:asciiTheme="majorHAnsi" w:hAnsiTheme="majorHAnsi" w:cstheme="majorHAnsi"/>
                <w:sz w:val="20"/>
              </w:rPr>
              <w:t xml:space="preserve">of 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energy storage </w:t>
            </w:r>
            <w:r w:rsidR="00527584">
              <w:rPr>
                <w:rFonts w:asciiTheme="majorHAnsi" w:hAnsiTheme="majorHAnsi" w:cstheme="majorHAnsi"/>
                <w:sz w:val="20"/>
              </w:rPr>
              <w:t>in megawatts (</w:t>
            </w:r>
            <w:r w:rsidR="00527584" w:rsidRPr="001C695C">
              <w:rPr>
                <w:rFonts w:asciiTheme="majorHAnsi" w:hAnsiTheme="majorHAnsi" w:cstheme="majorHAnsi"/>
                <w:sz w:val="20"/>
              </w:rPr>
              <w:t>MW</w:t>
            </w:r>
            <w:r w:rsidR="00527584">
              <w:rPr>
                <w:rFonts w:asciiTheme="majorHAnsi" w:hAnsiTheme="majorHAnsi" w:cstheme="majorHAnsi"/>
                <w:sz w:val="20"/>
              </w:rPr>
              <w:t>)</w:t>
            </w:r>
            <w:r w:rsidR="00527584" w:rsidRPr="001C695C">
              <w:rPr>
                <w:rFonts w:asciiTheme="majorHAnsi" w:hAnsiTheme="majorHAnsi" w:cstheme="majorHAnsi"/>
                <w:sz w:val="20"/>
              </w:rPr>
              <w:t xml:space="preserve"> and </w:t>
            </w:r>
            <w:r w:rsidR="00527584">
              <w:rPr>
                <w:rFonts w:asciiTheme="majorHAnsi" w:hAnsiTheme="majorHAnsi" w:cstheme="majorHAnsi"/>
                <w:sz w:val="20"/>
              </w:rPr>
              <w:t>megawatt-hours (</w:t>
            </w:r>
            <w:r w:rsidR="00527584" w:rsidRPr="001C695C">
              <w:rPr>
                <w:rFonts w:asciiTheme="majorHAnsi" w:hAnsiTheme="majorHAnsi" w:cstheme="majorHAnsi"/>
                <w:sz w:val="20"/>
              </w:rPr>
              <w:t>MWh</w:t>
            </w:r>
            <w:r w:rsidR="00527584">
              <w:rPr>
                <w:rFonts w:asciiTheme="majorHAnsi" w:hAnsiTheme="majorHAnsi" w:cstheme="majorHAnsi"/>
                <w:sz w:val="20"/>
              </w:rPr>
              <w:t>)</w:t>
            </w:r>
            <w:r w:rsidR="00527584" w:rsidRPr="001C695C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needed to address reliability criteria per </w:t>
            </w:r>
            <w:r>
              <w:rPr>
                <w:rFonts w:asciiTheme="majorHAnsi" w:hAnsiTheme="majorHAnsi" w:cstheme="majorHAnsi"/>
                <w:sz w:val="20"/>
              </w:rPr>
              <w:t>North American Electric Reliability Council (</w:t>
            </w:r>
            <w:r w:rsidRPr="001C695C">
              <w:rPr>
                <w:rFonts w:asciiTheme="majorHAnsi" w:hAnsiTheme="majorHAnsi" w:cstheme="majorHAnsi"/>
                <w:sz w:val="20"/>
              </w:rPr>
              <w:t>NERC</w:t>
            </w:r>
            <w:r>
              <w:rPr>
                <w:rFonts w:asciiTheme="majorHAnsi" w:hAnsiTheme="majorHAnsi" w:cstheme="majorHAnsi"/>
                <w:sz w:val="20"/>
              </w:rPr>
              <w:t>)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 TPL-001-4 P1 requirements</w:t>
            </w:r>
            <w:r w:rsidR="00B55524">
              <w:rPr>
                <w:rFonts w:asciiTheme="majorHAnsi" w:hAnsiTheme="majorHAnsi" w:cstheme="majorHAnsi"/>
                <w:sz w:val="20"/>
              </w:rPr>
              <w:t xml:space="preserve"> (PG&amp;E comments on pdf p. 21)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 but suggests that a transmission</w:t>
            </w:r>
            <w:r>
              <w:rPr>
                <w:rFonts w:asciiTheme="majorHAnsi" w:hAnsiTheme="majorHAnsi" w:cstheme="majorHAnsi"/>
                <w:sz w:val="20"/>
              </w:rPr>
              <w:t>-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level battery storage solution is not </w:t>
            </w:r>
            <w:r>
              <w:rPr>
                <w:rFonts w:asciiTheme="majorHAnsi" w:hAnsiTheme="majorHAnsi" w:cstheme="majorHAnsi"/>
                <w:sz w:val="20"/>
              </w:rPr>
              <w:t>an adequate alternative to the Proposed P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roject. PG&amp;E bases this on the potential for a second 70 kV outage occurring subsequent to the restoration of an initial 70 kV outage </w:t>
            </w:r>
            <w:r w:rsidR="00B55524">
              <w:rPr>
                <w:rFonts w:asciiTheme="majorHAnsi" w:hAnsiTheme="majorHAnsi" w:cstheme="majorHAnsi"/>
                <w:sz w:val="20"/>
              </w:rPr>
              <w:t xml:space="preserve">that </w:t>
            </w:r>
            <w:r w:rsidRPr="001C695C">
              <w:rPr>
                <w:rFonts w:asciiTheme="majorHAnsi" w:hAnsiTheme="majorHAnsi" w:cstheme="majorHAnsi"/>
                <w:sz w:val="20"/>
              </w:rPr>
              <w:t>impact</w:t>
            </w:r>
            <w:r w:rsidR="00B55524">
              <w:rPr>
                <w:rFonts w:asciiTheme="majorHAnsi" w:hAnsiTheme="majorHAnsi" w:cstheme="majorHAnsi"/>
                <w:sz w:val="20"/>
              </w:rPr>
              <w:t>s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 the same Paso Robles </w:t>
            </w:r>
            <w:r w:rsidR="00B55524">
              <w:rPr>
                <w:rFonts w:asciiTheme="majorHAnsi" w:hAnsiTheme="majorHAnsi" w:cstheme="majorHAnsi"/>
                <w:sz w:val="20"/>
              </w:rPr>
              <w:t>S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ubstation, with both outages lasting at least 24 hours. </w:t>
            </w:r>
            <w:r w:rsidR="00B55524">
              <w:rPr>
                <w:rFonts w:asciiTheme="majorHAnsi" w:hAnsiTheme="majorHAnsi" w:cstheme="majorHAnsi"/>
                <w:sz w:val="20"/>
              </w:rPr>
              <w:t>We assume that PG&amp;E would agree that s</w:t>
            </w:r>
            <w:r w:rsidRPr="001C695C">
              <w:rPr>
                <w:rFonts w:asciiTheme="majorHAnsi" w:hAnsiTheme="majorHAnsi" w:cstheme="majorHAnsi"/>
                <w:sz w:val="20"/>
              </w:rPr>
              <w:t>equential, transmission</w:t>
            </w:r>
            <w:r>
              <w:rPr>
                <w:rFonts w:asciiTheme="majorHAnsi" w:hAnsiTheme="majorHAnsi" w:cstheme="majorHAnsi"/>
                <w:sz w:val="20"/>
              </w:rPr>
              <w:t>-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level outages, impacting the same substation </w:t>
            </w:r>
            <w:r w:rsidR="00B55524">
              <w:rPr>
                <w:rFonts w:asciiTheme="majorHAnsi" w:hAnsiTheme="majorHAnsi" w:cstheme="majorHAnsi"/>
                <w:sz w:val="20"/>
              </w:rPr>
              <w:t xml:space="preserve">are </w:t>
            </w:r>
            <w:r>
              <w:rPr>
                <w:rFonts w:asciiTheme="majorHAnsi" w:hAnsiTheme="majorHAnsi" w:cstheme="majorHAnsi"/>
                <w:sz w:val="20"/>
              </w:rPr>
              <w:t>rare occurrence</w:t>
            </w:r>
            <w:r w:rsidR="00B55524">
              <w:rPr>
                <w:rFonts w:asciiTheme="majorHAnsi" w:hAnsiTheme="majorHAnsi" w:cstheme="majorHAnsi"/>
                <w:sz w:val="20"/>
              </w:rPr>
              <w:t>s</w:t>
            </w:r>
            <w:r>
              <w:rPr>
                <w:rFonts w:asciiTheme="majorHAnsi" w:hAnsiTheme="majorHAnsi" w:cstheme="majorHAnsi"/>
                <w:sz w:val="20"/>
              </w:rPr>
              <w:t xml:space="preserve">. </w:t>
            </w:r>
            <w:r w:rsidRPr="001C695C">
              <w:rPr>
                <w:rFonts w:asciiTheme="majorHAnsi" w:hAnsiTheme="majorHAnsi" w:cstheme="majorHAnsi"/>
                <w:sz w:val="20"/>
              </w:rPr>
              <w:t>Please provide evidence supporting PG&amp;E concerns</w:t>
            </w:r>
            <w:r w:rsidR="007F0CB4">
              <w:rPr>
                <w:rFonts w:asciiTheme="majorHAnsi" w:hAnsiTheme="majorHAnsi" w:cstheme="majorHAnsi"/>
                <w:sz w:val="20"/>
              </w:rPr>
              <w:t xml:space="preserve"> about the risk of not only one but two 24-hour outages occur</w:t>
            </w:r>
            <w:r w:rsidR="009D684A">
              <w:rPr>
                <w:rFonts w:asciiTheme="majorHAnsi" w:hAnsiTheme="majorHAnsi" w:cstheme="majorHAnsi"/>
                <w:sz w:val="20"/>
              </w:rPr>
              <w:t>r</w:t>
            </w:r>
            <w:r w:rsidR="007F0CB4">
              <w:rPr>
                <w:rFonts w:asciiTheme="majorHAnsi" w:hAnsiTheme="majorHAnsi" w:cstheme="majorHAnsi"/>
                <w:sz w:val="20"/>
              </w:rPr>
              <w:t xml:space="preserve">ing </w:t>
            </w:r>
            <w:r w:rsidR="00527584">
              <w:rPr>
                <w:rFonts w:asciiTheme="majorHAnsi" w:hAnsiTheme="majorHAnsi" w:cstheme="majorHAnsi"/>
                <w:sz w:val="20"/>
              </w:rPr>
              <w:t>with the second occurring before the battery can sufficiently recharge</w:t>
            </w:r>
            <w:r>
              <w:rPr>
                <w:rFonts w:asciiTheme="majorHAnsi" w:hAnsiTheme="majorHAnsi" w:cstheme="majorHAnsi"/>
                <w:sz w:val="20"/>
              </w:rPr>
              <w:t>. Th</w:t>
            </w:r>
            <w:r w:rsidR="007F0CB4">
              <w:rPr>
                <w:rFonts w:asciiTheme="majorHAnsi" w:hAnsiTheme="majorHAnsi" w:cstheme="majorHAnsi"/>
                <w:sz w:val="20"/>
              </w:rPr>
              <w:t>e response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 should include a record of similar historical outages within PG&amp;E</w:t>
            </w:r>
            <w:r w:rsidR="007F0CB4">
              <w:rPr>
                <w:rFonts w:asciiTheme="majorHAnsi" w:hAnsiTheme="majorHAnsi" w:cstheme="majorHAnsi"/>
                <w:sz w:val="20"/>
              </w:rPr>
              <w:t>’s service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 area that impacted the same substation</w:t>
            </w:r>
            <w:r>
              <w:rPr>
                <w:rFonts w:asciiTheme="majorHAnsi" w:hAnsiTheme="majorHAnsi" w:cstheme="majorHAnsi"/>
                <w:sz w:val="20"/>
              </w:rPr>
              <w:t>,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 which would have eliminated the ability to charge a battery.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7162973C" w14:textId="7391CF23" w:rsidR="0075340D" w:rsidRPr="00AF3856" w:rsidRDefault="0075340D" w:rsidP="0075340D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5/21/19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6E50C092" w14:textId="77777777" w:rsidR="0075340D" w:rsidRDefault="0075340D" w:rsidP="0075340D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left w:w="43" w:type="dxa"/>
              <w:right w:w="14" w:type="dxa"/>
            </w:tcMar>
          </w:tcPr>
          <w:p w14:paraId="2AF890E9" w14:textId="77777777" w:rsidR="0075340D" w:rsidRDefault="0075340D" w:rsidP="0075340D">
            <w:pPr>
              <w:keepLines/>
              <w:spacing w:before="40" w:after="40"/>
              <w:ind w:left="-36" w:right="-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1CDBF577" w14:textId="77777777" w:rsidR="0075340D" w:rsidRDefault="0075340D" w:rsidP="0075340D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340D" w14:paraId="060974D3" w14:textId="77777777" w:rsidTr="00BD7206"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</w:tcPr>
          <w:p w14:paraId="0931D22F" w14:textId="33D37DD9" w:rsidR="0075340D" w:rsidRDefault="0075340D" w:rsidP="0075340D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9254052"/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070" w:type="dxa"/>
            <w:shd w:val="clear" w:color="auto" w:fill="auto"/>
            <w:tcMar>
              <w:left w:w="43" w:type="dxa"/>
              <w:right w:w="43" w:type="dxa"/>
            </w:tcMar>
          </w:tcPr>
          <w:p w14:paraId="57590DB8" w14:textId="7EB46127" w:rsidR="0075340D" w:rsidRPr="00995F23" w:rsidRDefault="0075340D" w:rsidP="0075340D">
            <w:pPr>
              <w:keepLines/>
              <w:spacing w:before="40" w:after="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95F23">
              <w:rPr>
                <w:rFonts w:ascii="Calibri" w:eastAsia="Calibri" w:hAnsi="Calibri" w:cs="Calibri"/>
                <w:b/>
                <w:sz w:val="20"/>
                <w:szCs w:val="20"/>
              </w:rPr>
              <w:t>PG&amp;E</w:t>
            </w:r>
          </w:p>
        </w:tc>
        <w:tc>
          <w:tcPr>
            <w:tcW w:w="5580" w:type="dxa"/>
            <w:shd w:val="clear" w:color="auto" w:fill="auto"/>
            <w:tcMar>
              <w:left w:w="58" w:type="dxa"/>
              <w:right w:w="43" w:type="dxa"/>
            </w:tcMar>
          </w:tcPr>
          <w:p w14:paraId="42C11553" w14:textId="44534357" w:rsidR="00527584" w:rsidRDefault="00527584" w:rsidP="00527584">
            <w:pPr>
              <w:spacing w:before="40" w:after="40" w:line="259" w:lineRule="auto"/>
              <w:rPr>
                <w:rFonts w:asciiTheme="majorHAnsi" w:hAnsiTheme="majorHAnsi" w:cstheme="majorHAnsi"/>
                <w:sz w:val="20"/>
              </w:rPr>
            </w:pPr>
            <w:r w:rsidRPr="00527584">
              <w:rPr>
                <w:rFonts w:asciiTheme="majorHAnsi" w:hAnsiTheme="majorHAnsi" w:cstheme="majorHAnsi"/>
                <w:sz w:val="20"/>
              </w:rPr>
              <w:t>PG&amp;E has implemented an undervoltage load</w:t>
            </w:r>
            <w:r w:rsidR="009C4BAE">
              <w:rPr>
                <w:rFonts w:asciiTheme="majorHAnsi" w:hAnsiTheme="majorHAnsi" w:cstheme="majorHAnsi"/>
                <w:sz w:val="20"/>
              </w:rPr>
              <w:t>-</w:t>
            </w:r>
            <w:bookmarkStart w:id="1" w:name="_GoBack"/>
            <w:bookmarkEnd w:id="1"/>
            <w:r w:rsidRPr="00527584">
              <w:rPr>
                <w:rFonts w:asciiTheme="majorHAnsi" w:hAnsiTheme="majorHAnsi" w:cstheme="majorHAnsi"/>
                <w:sz w:val="20"/>
              </w:rPr>
              <w:t>shedding (</w:t>
            </w:r>
            <w:proofErr w:type="spellStart"/>
            <w:r w:rsidRPr="00527584">
              <w:rPr>
                <w:rFonts w:asciiTheme="majorHAnsi" w:hAnsiTheme="majorHAnsi" w:cstheme="majorHAnsi"/>
                <w:sz w:val="20"/>
              </w:rPr>
              <w:t>UVLS</w:t>
            </w:r>
            <w:proofErr w:type="spellEnd"/>
            <w:r w:rsidRPr="00527584">
              <w:rPr>
                <w:rFonts w:asciiTheme="majorHAnsi" w:hAnsiTheme="majorHAnsi" w:cstheme="majorHAnsi"/>
                <w:sz w:val="20"/>
              </w:rPr>
              <w:t xml:space="preserve">) scheme within the Paso Robles </w:t>
            </w:r>
            <w:proofErr w:type="spellStart"/>
            <w:r w:rsidRPr="00527584">
              <w:rPr>
                <w:rFonts w:asciiTheme="majorHAnsi" w:hAnsiTheme="majorHAnsi" w:cstheme="majorHAnsi"/>
                <w:sz w:val="20"/>
              </w:rPr>
              <w:t>DPA</w:t>
            </w:r>
            <w:proofErr w:type="spellEnd"/>
            <w:r w:rsidRPr="00527584">
              <w:rPr>
                <w:rFonts w:asciiTheme="majorHAnsi" w:hAnsiTheme="majorHAnsi" w:cstheme="majorHAnsi"/>
                <w:sz w:val="20"/>
              </w:rPr>
              <w:t xml:space="preserve">.  This scheme, as we understand, is designed to shed non-consequential load in the </w:t>
            </w:r>
            <w:r w:rsidRPr="00527584">
              <w:rPr>
                <w:rFonts w:asciiTheme="majorHAnsi" w:hAnsiTheme="majorHAnsi" w:cstheme="majorHAnsi"/>
                <w:sz w:val="20"/>
              </w:rPr>
              <w:lastRenderedPageBreak/>
              <w:t xml:space="preserve">event of unacceptably low voltages on the distribution system.  Please verify the intent and functions of </w:t>
            </w:r>
            <w:r w:rsidR="007F23ED">
              <w:rPr>
                <w:rFonts w:asciiTheme="majorHAnsi" w:hAnsiTheme="majorHAnsi" w:cstheme="majorHAnsi"/>
                <w:sz w:val="20"/>
              </w:rPr>
              <w:t xml:space="preserve">the </w:t>
            </w:r>
            <w:proofErr w:type="spellStart"/>
            <w:r w:rsidR="007F23ED">
              <w:rPr>
                <w:rFonts w:asciiTheme="majorHAnsi" w:hAnsiTheme="majorHAnsi" w:cstheme="majorHAnsi"/>
                <w:sz w:val="20"/>
              </w:rPr>
              <w:t>UVLS</w:t>
            </w:r>
            <w:proofErr w:type="spellEnd"/>
            <w:r w:rsidRPr="00527584">
              <w:rPr>
                <w:rFonts w:asciiTheme="majorHAnsi" w:hAnsiTheme="majorHAnsi" w:cstheme="majorHAnsi"/>
                <w:sz w:val="20"/>
              </w:rPr>
              <w:t xml:space="preserve">. </w:t>
            </w:r>
          </w:p>
          <w:p w14:paraId="0E7031F9" w14:textId="3B06AACC" w:rsidR="00527584" w:rsidRPr="001C695C" w:rsidRDefault="00527584" w:rsidP="0075340D">
            <w:pPr>
              <w:spacing w:before="40" w:after="40" w:line="259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In addition, p</w:t>
            </w:r>
            <w:r w:rsidRPr="00527584">
              <w:rPr>
                <w:rFonts w:asciiTheme="majorHAnsi" w:hAnsiTheme="majorHAnsi" w:cstheme="majorHAnsi"/>
                <w:sz w:val="20"/>
              </w:rPr>
              <w:t xml:space="preserve">lease provide the historical record, since </w:t>
            </w:r>
            <w:proofErr w:type="spellStart"/>
            <w:r w:rsidR="007F23ED">
              <w:rPr>
                <w:rFonts w:asciiTheme="majorHAnsi" w:hAnsiTheme="majorHAnsi" w:cstheme="majorHAnsi"/>
                <w:sz w:val="20"/>
              </w:rPr>
              <w:t>UVLS</w:t>
            </w:r>
            <w:proofErr w:type="spellEnd"/>
            <w:r w:rsidR="007F23ED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527584">
              <w:rPr>
                <w:rFonts w:asciiTheme="majorHAnsi" w:hAnsiTheme="majorHAnsi" w:cstheme="majorHAnsi"/>
                <w:sz w:val="20"/>
              </w:rPr>
              <w:t>installation, of the (</w:t>
            </w:r>
            <w:proofErr w:type="spellStart"/>
            <w:r w:rsidRPr="00527584">
              <w:rPr>
                <w:rFonts w:asciiTheme="majorHAnsi" w:hAnsiTheme="majorHAnsi" w:cstheme="majorHAnsi"/>
                <w:sz w:val="20"/>
              </w:rPr>
              <w:t>UVLS</w:t>
            </w:r>
            <w:proofErr w:type="spellEnd"/>
            <w:r w:rsidRPr="00527584">
              <w:rPr>
                <w:rFonts w:asciiTheme="majorHAnsi" w:hAnsiTheme="majorHAnsi" w:cstheme="majorHAnsi"/>
                <w:sz w:val="20"/>
              </w:rPr>
              <w:t>)</w:t>
            </w:r>
            <w:r>
              <w:rPr>
                <w:rFonts w:asciiTheme="majorHAnsi" w:hAnsiTheme="majorHAnsi" w:cstheme="majorHAnsi"/>
                <w:sz w:val="20"/>
              </w:rPr>
              <w:t xml:space="preserve"> operating</w:t>
            </w:r>
            <w:r w:rsidRPr="00527584">
              <w:rPr>
                <w:rFonts w:asciiTheme="majorHAnsi" w:hAnsiTheme="majorHAnsi" w:cstheme="majorHAnsi"/>
                <w:sz w:val="20"/>
              </w:rPr>
              <w:t xml:space="preserve">. The record should include date, time, duration, cause, and impacted customers for every time the </w:t>
            </w:r>
            <w:proofErr w:type="spellStart"/>
            <w:r w:rsidRPr="00527584">
              <w:rPr>
                <w:rFonts w:asciiTheme="majorHAnsi" w:hAnsiTheme="majorHAnsi" w:cstheme="majorHAnsi"/>
                <w:sz w:val="20"/>
              </w:rPr>
              <w:t>UVLS</w:t>
            </w:r>
            <w:proofErr w:type="spellEnd"/>
            <w:r w:rsidRPr="00527584">
              <w:rPr>
                <w:rFonts w:asciiTheme="majorHAnsi" w:hAnsiTheme="majorHAnsi" w:cstheme="majorHAnsi"/>
                <w:sz w:val="20"/>
              </w:rPr>
              <w:t xml:space="preserve"> was initiated. 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0139E70A" w14:textId="7750B8C6" w:rsidR="0075340D" w:rsidRPr="004649C7" w:rsidRDefault="0075340D" w:rsidP="0075340D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5/21/19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25612C59" w14:textId="77777777" w:rsidR="0075340D" w:rsidRDefault="0075340D" w:rsidP="0075340D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left w:w="43" w:type="dxa"/>
              <w:right w:w="14" w:type="dxa"/>
            </w:tcMar>
          </w:tcPr>
          <w:p w14:paraId="1BEF1147" w14:textId="77777777" w:rsidR="0075340D" w:rsidRDefault="0075340D" w:rsidP="0075340D">
            <w:pPr>
              <w:keepLines/>
              <w:spacing w:before="40" w:after="40"/>
              <w:ind w:left="-36" w:right="-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3D767F96" w14:textId="77777777" w:rsidR="0075340D" w:rsidRDefault="0075340D" w:rsidP="0075340D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0"/>
      <w:tr w:rsidR="0075340D" w14:paraId="4188ABAC" w14:textId="77777777" w:rsidTr="00BD7206"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</w:tcPr>
          <w:p w14:paraId="0393968F" w14:textId="4851C358" w:rsidR="0075340D" w:rsidRDefault="0075340D" w:rsidP="0075340D">
            <w:pPr>
              <w:keepNext/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  <w:p w14:paraId="5003A9EA" w14:textId="77777777" w:rsidR="0075340D" w:rsidRPr="008529AF" w:rsidRDefault="0075340D" w:rsidP="0075340D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left w:w="43" w:type="dxa"/>
              <w:right w:w="43" w:type="dxa"/>
            </w:tcMar>
          </w:tcPr>
          <w:p w14:paraId="379A582A" w14:textId="35C52F50" w:rsidR="0075340D" w:rsidRPr="00995F23" w:rsidRDefault="0075340D" w:rsidP="0075340D">
            <w:pPr>
              <w:keepNext/>
              <w:keepLines/>
              <w:spacing w:before="40" w:after="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95F23">
              <w:rPr>
                <w:rFonts w:ascii="Calibri" w:eastAsia="Calibri" w:hAnsi="Calibri" w:cs="Calibri"/>
                <w:b/>
                <w:sz w:val="20"/>
                <w:szCs w:val="20"/>
              </w:rPr>
              <w:t>Horizon West Transmission (</w:t>
            </w:r>
            <w:proofErr w:type="spellStart"/>
            <w:r w:rsidRPr="00995F23">
              <w:rPr>
                <w:rFonts w:ascii="Calibri" w:eastAsia="Calibri" w:hAnsi="Calibri" w:cs="Calibri"/>
                <w:b/>
                <w:sz w:val="20"/>
                <w:szCs w:val="20"/>
              </w:rPr>
              <w:t>HWT</w:t>
            </w:r>
            <w:proofErr w:type="spellEnd"/>
            <w:r w:rsidRPr="00995F23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/ formerly NEET West</w:t>
            </w:r>
          </w:p>
        </w:tc>
        <w:tc>
          <w:tcPr>
            <w:tcW w:w="5580" w:type="dxa"/>
            <w:shd w:val="clear" w:color="auto" w:fill="auto"/>
            <w:tcMar>
              <w:left w:w="58" w:type="dxa"/>
              <w:right w:w="43" w:type="dxa"/>
            </w:tcMar>
          </w:tcPr>
          <w:p w14:paraId="0B5F5D1F" w14:textId="170F2C50" w:rsidR="0075340D" w:rsidRPr="001C695C" w:rsidRDefault="0075340D" w:rsidP="007534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</w:rPr>
              <w:t>HWT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states that they performed a preliminary assessment of </w:t>
            </w:r>
            <w:r>
              <w:rPr>
                <w:rFonts w:asciiTheme="majorHAnsi" w:hAnsiTheme="majorHAnsi" w:cstheme="majorHAnsi"/>
                <w:sz w:val="20"/>
              </w:rPr>
              <w:t>Alternative Battery Storage (BS)-1: Battery Storage to Address the Transmission Objective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 and concluded it would not solve the reliability problems identified by the CAISO. This conflicts with PG&amp;E</w:t>
            </w:r>
            <w:r>
              <w:rPr>
                <w:rFonts w:asciiTheme="majorHAnsi" w:hAnsiTheme="majorHAnsi" w:cstheme="majorHAnsi"/>
                <w:sz w:val="20"/>
              </w:rPr>
              <w:t>’s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 comments that “PG&amp;E agrees with </w:t>
            </w:r>
            <w:proofErr w:type="spellStart"/>
            <w:r w:rsidRPr="001C695C">
              <w:rPr>
                <w:rFonts w:asciiTheme="majorHAnsi" w:hAnsiTheme="majorHAnsi" w:cstheme="majorHAnsi"/>
                <w:sz w:val="20"/>
              </w:rPr>
              <w:t>ZGlobal’s</w:t>
            </w:r>
            <w:proofErr w:type="spellEnd"/>
            <w:r w:rsidRPr="001C695C">
              <w:rPr>
                <w:rFonts w:asciiTheme="majorHAnsi" w:hAnsiTheme="majorHAnsi" w:cstheme="majorHAnsi"/>
                <w:sz w:val="20"/>
              </w:rPr>
              <w:t xml:space="preserve"> analysis of the MW and MWh sizing of the transmission connected </w:t>
            </w:r>
            <w:r>
              <w:rPr>
                <w:rFonts w:asciiTheme="majorHAnsi" w:hAnsiTheme="majorHAnsi" w:cstheme="majorHAnsi"/>
                <w:sz w:val="20"/>
              </w:rPr>
              <w:t xml:space="preserve">[battery energy storage system] </w:t>
            </w:r>
            <w:r w:rsidRPr="001C695C">
              <w:rPr>
                <w:rFonts w:asciiTheme="majorHAnsi" w:hAnsiTheme="majorHAnsi" w:cstheme="majorHAnsi"/>
                <w:sz w:val="20"/>
              </w:rPr>
              <w:t>BESS at the Paso Robles Substation in order to meet the</w:t>
            </w:r>
            <w:r>
              <w:rPr>
                <w:rFonts w:asciiTheme="majorHAnsi" w:hAnsiTheme="majorHAnsi" w:cstheme="majorHAnsi"/>
                <w:sz w:val="20"/>
              </w:rPr>
              <w:t xml:space="preserve"> NERC TPL-001-4 P1 requirements”</w:t>
            </w:r>
            <w:r w:rsidR="009D684A">
              <w:rPr>
                <w:rFonts w:asciiTheme="majorHAnsi" w:hAnsiTheme="majorHAnsi" w:cstheme="majorHAnsi"/>
                <w:sz w:val="20"/>
              </w:rPr>
              <w:t xml:space="preserve"> (PG&amp;E comments </w:t>
            </w:r>
            <w:r w:rsidR="007D4874">
              <w:rPr>
                <w:rFonts w:asciiTheme="majorHAnsi" w:hAnsiTheme="majorHAnsi" w:cstheme="majorHAnsi"/>
                <w:sz w:val="20"/>
              </w:rPr>
              <w:t>on</w:t>
            </w:r>
            <w:r w:rsidR="009D684A">
              <w:rPr>
                <w:rFonts w:asciiTheme="majorHAnsi" w:hAnsiTheme="majorHAnsi" w:cstheme="majorHAnsi"/>
                <w:sz w:val="20"/>
              </w:rPr>
              <w:t xml:space="preserve"> pdf p. 21)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HWT</w:t>
            </w:r>
            <w:proofErr w:type="spellEnd"/>
            <w:r w:rsidRPr="001C695C">
              <w:rPr>
                <w:rFonts w:asciiTheme="majorHAnsi" w:hAnsiTheme="majorHAnsi" w:cstheme="majorHAnsi"/>
                <w:sz w:val="20"/>
              </w:rPr>
              <w:t>, please provide your preliminary assessment</w:t>
            </w:r>
            <w:r w:rsidR="007D4874">
              <w:rPr>
                <w:rFonts w:asciiTheme="majorHAnsi" w:hAnsiTheme="majorHAnsi" w:cstheme="majorHAnsi"/>
                <w:sz w:val="20"/>
              </w:rPr>
              <w:t xml:space="preserve"> report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, including assumptions, methodology, and results as well as the power flow models </w:t>
            </w:r>
            <w:r w:rsidR="007D4874">
              <w:rPr>
                <w:rFonts w:asciiTheme="majorHAnsi" w:hAnsiTheme="majorHAnsi" w:cstheme="majorHAnsi"/>
                <w:sz w:val="20"/>
              </w:rPr>
              <w:t xml:space="preserve">used for </w:t>
            </w:r>
            <w:r w:rsidRPr="001C695C">
              <w:rPr>
                <w:rFonts w:asciiTheme="majorHAnsi" w:hAnsiTheme="majorHAnsi" w:cstheme="majorHAnsi"/>
                <w:sz w:val="20"/>
              </w:rPr>
              <w:t>th</w:t>
            </w:r>
            <w:r w:rsidR="007D4874">
              <w:rPr>
                <w:rFonts w:asciiTheme="majorHAnsi" w:hAnsiTheme="majorHAnsi" w:cstheme="majorHAnsi"/>
                <w:sz w:val="20"/>
              </w:rPr>
              <w:t>e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 assessment.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64841958" w14:textId="5D1680E3" w:rsidR="0075340D" w:rsidRDefault="0075340D" w:rsidP="0075340D">
            <w:pPr>
              <w:keepNext/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5/21/19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3ACD2FD1" w14:textId="77777777" w:rsidR="0075340D" w:rsidRDefault="0075340D" w:rsidP="0075340D">
            <w:pPr>
              <w:keepNext/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left w:w="43" w:type="dxa"/>
              <w:right w:w="14" w:type="dxa"/>
            </w:tcMar>
          </w:tcPr>
          <w:p w14:paraId="6CB03F83" w14:textId="77777777" w:rsidR="0075340D" w:rsidRDefault="0075340D" w:rsidP="0075340D">
            <w:pPr>
              <w:keepLines/>
              <w:spacing w:before="40" w:after="40"/>
              <w:ind w:left="-36" w:right="-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40817595" w14:textId="77777777" w:rsidR="0075340D" w:rsidRDefault="0075340D" w:rsidP="0075340D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5340D" w14:paraId="1DDD010C" w14:textId="77777777" w:rsidTr="00BD7206"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</w:tcPr>
          <w:p w14:paraId="61F243D2" w14:textId="70DE70DD" w:rsidR="0075340D" w:rsidRDefault="0075340D" w:rsidP="0075340D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070" w:type="dxa"/>
            <w:shd w:val="clear" w:color="auto" w:fill="auto"/>
            <w:tcMar>
              <w:left w:w="43" w:type="dxa"/>
              <w:right w:w="43" w:type="dxa"/>
            </w:tcMar>
          </w:tcPr>
          <w:p w14:paraId="2620C381" w14:textId="399C630F" w:rsidR="0075340D" w:rsidRPr="00995F23" w:rsidRDefault="0075340D" w:rsidP="0075340D">
            <w:pPr>
              <w:keepLines/>
              <w:spacing w:before="40" w:after="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95F23">
              <w:rPr>
                <w:rFonts w:ascii="Calibri" w:eastAsia="Calibri" w:hAnsi="Calibri" w:cs="Calibri"/>
                <w:b/>
                <w:sz w:val="20"/>
                <w:szCs w:val="20"/>
              </w:rPr>
              <w:t>CAISO</w:t>
            </w:r>
          </w:p>
        </w:tc>
        <w:tc>
          <w:tcPr>
            <w:tcW w:w="5580" w:type="dxa"/>
            <w:shd w:val="clear" w:color="auto" w:fill="auto"/>
            <w:tcMar>
              <w:left w:w="58" w:type="dxa"/>
              <w:right w:w="43" w:type="dxa"/>
            </w:tcMar>
          </w:tcPr>
          <w:p w14:paraId="57C74E4C" w14:textId="24C9003B" w:rsidR="0075340D" w:rsidRPr="001C695C" w:rsidRDefault="0075340D" w:rsidP="00753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C695C">
              <w:rPr>
                <w:rFonts w:asciiTheme="majorHAnsi" w:hAnsiTheme="majorHAnsi" w:cstheme="majorHAnsi"/>
                <w:sz w:val="20"/>
              </w:rPr>
              <w:t xml:space="preserve">CAISO states there is no support for </w:t>
            </w:r>
            <w:r>
              <w:rPr>
                <w:rFonts w:asciiTheme="majorHAnsi" w:hAnsiTheme="majorHAnsi" w:cstheme="majorHAnsi"/>
                <w:sz w:val="20"/>
              </w:rPr>
              <w:t>Alternative BS-1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 to meet actual operating requirements. Please specify the specific operating requirements </w:t>
            </w:r>
            <w:r>
              <w:rPr>
                <w:rFonts w:asciiTheme="majorHAnsi" w:hAnsiTheme="majorHAnsi" w:cstheme="majorHAnsi"/>
                <w:sz w:val="20"/>
              </w:rPr>
              <w:t xml:space="preserve">that </w:t>
            </w:r>
            <w:r w:rsidRPr="001C695C">
              <w:rPr>
                <w:rFonts w:asciiTheme="majorHAnsi" w:hAnsiTheme="majorHAnsi" w:cstheme="majorHAnsi"/>
                <w:sz w:val="20"/>
              </w:rPr>
              <w:t>CAISO feels</w:t>
            </w:r>
            <w:r>
              <w:rPr>
                <w:rFonts w:asciiTheme="majorHAnsi" w:hAnsiTheme="majorHAnsi" w:cstheme="majorHAnsi"/>
                <w:sz w:val="20"/>
              </w:rPr>
              <w:t xml:space="preserve"> a battery storage solution can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not meet assuming a 10 to 12-hour duration outage </w:t>
            </w:r>
            <w:r>
              <w:rPr>
                <w:rFonts w:asciiTheme="majorHAnsi" w:hAnsiTheme="majorHAnsi" w:cstheme="majorHAnsi"/>
                <w:sz w:val="20"/>
              </w:rPr>
              <w:t>involving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 one of the three co</w:t>
            </w:r>
            <w:r>
              <w:rPr>
                <w:rFonts w:asciiTheme="majorHAnsi" w:hAnsiTheme="majorHAnsi" w:cstheme="majorHAnsi"/>
                <w:sz w:val="20"/>
              </w:rPr>
              <w:t xml:space="preserve">ntingencies that would be solved by the Proposed Project. </w:t>
            </w:r>
            <w:r w:rsidRPr="001C695C">
              <w:rPr>
                <w:rFonts w:asciiTheme="majorHAnsi" w:hAnsiTheme="majorHAnsi" w:cstheme="majorHAnsi"/>
                <w:sz w:val="20"/>
              </w:rPr>
              <w:t>These outages are (1) Paso Robles-Templeton 70 kV Power Line (P1 contingency), or (2) Templeton 230/70 kV #1 Transformer Bank (P1 contingency); (3) both the Morro Bay- Templeton and Templeton-Gates 230 kV transmission lines (P6 contingency).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1413989F" w14:textId="26BE7FA9" w:rsidR="0075340D" w:rsidRDefault="0075340D" w:rsidP="0075340D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5/21/19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4ED2CB86" w14:textId="77777777" w:rsidR="0075340D" w:rsidRDefault="0075340D" w:rsidP="0075340D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left w:w="43" w:type="dxa"/>
              <w:right w:w="14" w:type="dxa"/>
            </w:tcMar>
          </w:tcPr>
          <w:p w14:paraId="07D6C3A0" w14:textId="77777777" w:rsidR="0075340D" w:rsidRDefault="0075340D" w:rsidP="0075340D">
            <w:pPr>
              <w:keepLines/>
              <w:spacing w:before="40" w:after="40"/>
              <w:ind w:left="-36" w:right="-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551B92D6" w14:textId="77777777" w:rsidR="0075340D" w:rsidRDefault="0075340D" w:rsidP="0075340D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695C" w14:paraId="5E30BB4E" w14:textId="77777777" w:rsidTr="00BD7206"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</w:tcPr>
          <w:p w14:paraId="743A3F55" w14:textId="0EA578AA" w:rsidR="001C695C" w:rsidRDefault="001C695C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070" w:type="dxa"/>
            <w:shd w:val="clear" w:color="auto" w:fill="auto"/>
            <w:tcMar>
              <w:left w:w="43" w:type="dxa"/>
              <w:right w:w="43" w:type="dxa"/>
            </w:tcMar>
          </w:tcPr>
          <w:p w14:paraId="799C961D" w14:textId="7D12CAB3" w:rsidR="001C695C" w:rsidRPr="00995F23" w:rsidRDefault="001C695C" w:rsidP="00951CEC">
            <w:pPr>
              <w:keepLines/>
              <w:spacing w:before="40" w:after="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95F23">
              <w:rPr>
                <w:rFonts w:ascii="Calibri" w:eastAsia="Calibri" w:hAnsi="Calibri" w:cs="Calibri"/>
                <w:b/>
                <w:sz w:val="20"/>
                <w:szCs w:val="20"/>
              </w:rPr>
              <w:t>CAISO</w:t>
            </w:r>
          </w:p>
        </w:tc>
        <w:tc>
          <w:tcPr>
            <w:tcW w:w="5580" w:type="dxa"/>
            <w:shd w:val="clear" w:color="auto" w:fill="auto"/>
            <w:tcMar>
              <w:left w:w="58" w:type="dxa"/>
              <w:right w:w="43" w:type="dxa"/>
            </w:tcMar>
          </w:tcPr>
          <w:p w14:paraId="0737C8A8" w14:textId="17983C24" w:rsidR="001C695C" w:rsidRPr="001C695C" w:rsidRDefault="001C695C" w:rsidP="00870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C695C">
              <w:rPr>
                <w:rFonts w:asciiTheme="majorHAnsi" w:hAnsiTheme="majorHAnsi" w:cstheme="majorHAnsi"/>
                <w:sz w:val="20"/>
              </w:rPr>
              <w:t>Please clarify the CAISO planning criteria for P6 “multiple contingencies.</w:t>
            </w:r>
            <w:r w:rsidR="00870832">
              <w:rPr>
                <w:rFonts w:asciiTheme="majorHAnsi" w:hAnsiTheme="majorHAnsi" w:cstheme="majorHAnsi"/>
                <w:sz w:val="20"/>
              </w:rPr>
              <w:t>”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 Per NERC TPL-001-4</w:t>
            </w:r>
            <w:r w:rsidR="00870832">
              <w:rPr>
                <w:rFonts w:asciiTheme="majorHAnsi" w:hAnsiTheme="majorHAnsi" w:cstheme="majorHAnsi"/>
                <w:sz w:val="20"/>
              </w:rPr>
              <w:t>,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 it is permissible to shed non-co</w:t>
            </w:r>
            <w:r w:rsidR="00870832">
              <w:rPr>
                <w:rFonts w:asciiTheme="majorHAnsi" w:hAnsiTheme="majorHAnsi" w:cstheme="majorHAnsi"/>
                <w:sz w:val="20"/>
              </w:rPr>
              <w:t xml:space="preserve">nsequential load for P6 events. 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Consequently, the need to mitigate for the P6 contingency involving the Morro Bay- Templeton and Templeton-Gates 230 kV transmission lines with </w:t>
            </w:r>
            <w:r w:rsidRPr="001C695C">
              <w:rPr>
                <w:rFonts w:asciiTheme="majorHAnsi" w:hAnsiTheme="majorHAnsi" w:cstheme="majorHAnsi"/>
                <w:sz w:val="20"/>
              </w:rPr>
              <w:lastRenderedPageBreak/>
              <w:t xml:space="preserve">physical upgrades included in the </w:t>
            </w:r>
            <w:r w:rsidR="00870832">
              <w:rPr>
                <w:rFonts w:asciiTheme="majorHAnsi" w:hAnsiTheme="majorHAnsi" w:cstheme="majorHAnsi"/>
                <w:sz w:val="20"/>
              </w:rPr>
              <w:t>Proposed P</w:t>
            </w:r>
            <w:r w:rsidRPr="001C695C">
              <w:rPr>
                <w:rFonts w:asciiTheme="majorHAnsi" w:hAnsiTheme="majorHAnsi" w:cstheme="majorHAnsi"/>
                <w:sz w:val="20"/>
              </w:rPr>
              <w:t>roject are not mandated by reliability standards. To the exten</w:t>
            </w:r>
            <w:r w:rsidR="00870832">
              <w:rPr>
                <w:rFonts w:asciiTheme="majorHAnsi" w:hAnsiTheme="majorHAnsi" w:cstheme="majorHAnsi"/>
                <w:sz w:val="20"/>
              </w:rPr>
              <w:t>t that</w:t>
            </w:r>
            <w:r w:rsidRPr="001C695C">
              <w:rPr>
                <w:rFonts w:asciiTheme="majorHAnsi" w:hAnsiTheme="majorHAnsi" w:cstheme="majorHAnsi"/>
                <w:sz w:val="20"/>
              </w:rPr>
              <w:t xml:space="preserve"> CAISO applies a more restrictive criteria, such as not allowing con-consequently load loss, for P6 category outages, please provide explanation and justification of the application of more restrictive planning criteria than that specified by NERC.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02197AB9" w14:textId="2059E4AC" w:rsidR="001C695C" w:rsidRDefault="00870832" w:rsidP="0069392B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5/</w:t>
            </w:r>
            <w:r w:rsidR="0075340D">
              <w:rPr>
                <w:rFonts w:ascii="Calibri" w:eastAsia="Calibri" w:hAnsi="Calibri" w:cs="Calibri"/>
                <w:sz w:val="20"/>
                <w:szCs w:val="20"/>
              </w:rPr>
              <w:t>21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/19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2685CCB2" w14:textId="77777777" w:rsidR="001C695C" w:rsidRDefault="001C695C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left w:w="43" w:type="dxa"/>
              <w:right w:w="14" w:type="dxa"/>
            </w:tcMar>
          </w:tcPr>
          <w:p w14:paraId="760A9910" w14:textId="77777777" w:rsidR="001C695C" w:rsidRDefault="001C695C">
            <w:pPr>
              <w:keepLines/>
              <w:spacing w:before="40" w:after="40"/>
              <w:ind w:left="-36" w:right="-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0F9EE7D6" w14:textId="77777777" w:rsidR="001C695C" w:rsidRDefault="001C695C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D7206" w14:paraId="74FF4D59" w14:textId="77777777" w:rsidTr="00BD7206"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</w:tcPr>
          <w:p w14:paraId="46C8C2F4" w14:textId="01473DC8" w:rsidR="00BD7206" w:rsidRDefault="00BD7206" w:rsidP="00BD7206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2070" w:type="dxa"/>
            <w:shd w:val="clear" w:color="auto" w:fill="auto"/>
            <w:tcMar>
              <w:left w:w="43" w:type="dxa"/>
              <w:right w:w="43" w:type="dxa"/>
            </w:tcMar>
          </w:tcPr>
          <w:p w14:paraId="1EEBE6E1" w14:textId="2E023B95" w:rsidR="00BD7206" w:rsidRPr="00995F23" w:rsidRDefault="00BD7206" w:rsidP="00BD7206">
            <w:pPr>
              <w:keepLines/>
              <w:spacing w:before="40" w:after="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CAISO</w:t>
            </w:r>
          </w:p>
        </w:tc>
        <w:tc>
          <w:tcPr>
            <w:tcW w:w="5580" w:type="dxa"/>
            <w:shd w:val="clear" w:color="auto" w:fill="auto"/>
            <w:tcMar>
              <w:left w:w="58" w:type="dxa"/>
              <w:right w:w="43" w:type="dxa"/>
            </w:tcMar>
          </w:tcPr>
          <w:p w14:paraId="34B40AEC" w14:textId="77777777" w:rsidR="00BD7206" w:rsidRDefault="00BD7206" w:rsidP="00BD7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Theme="majorHAnsi" w:hAnsiTheme="majorHAnsi" w:cstheme="majorHAnsi"/>
                <w:sz w:val="20"/>
              </w:rPr>
            </w:pPr>
            <w:r w:rsidRPr="000519D2">
              <w:rPr>
                <w:rFonts w:asciiTheme="majorHAnsi" w:hAnsiTheme="majorHAnsi" w:cstheme="majorHAnsi"/>
                <w:sz w:val="20"/>
              </w:rPr>
              <w:t>CAISO</w:t>
            </w:r>
            <w:r>
              <w:rPr>
                <w:rFonts w:asciiTheme="majorHAnsi" w:hAnsiTheme="majorHAnsi" w:cstheme="majorHAnsi"/>
                <w:sz w:val="20"/>
              </w:rPr>
              <w:t>’s comments</w:t>
            </w:r>
            <w:r w:rsidRPr="000519D2">
              <w:rPr>
                <w:rFonts w:asciiTheme="majorHAnsi" w:hAnsiTheme="majorHAnsi" w:cstheme="majorHAnsi"/>
                <w:sz w:val="20"/>
              </w:rPr>
              <w:t xml:space="preserve"> suggest that the typical restoration time for a single 70-kV outage is 10 to 12 hours. CAISO also states that </w:t>
            </w:r>
            <w:r>
              <w:rPr>
                <w:rFonts w:asciiTheme="majorHAnsi" w:hAnsiTheme="majorHAnsi" w:cstheme="majorHAnsi"/>
                <w:sz w:val="20"/>
              </w:rPr>
              <w:t xml:space="preserve">a </w:t>
            </w:r>
            <w:r w:rsidRPr="000519D2">
              <w:rPr>
                <w:rFonts w:asciiTheme="majorHAnsi" w:hAnsiTheme="majorHAnsi" w:cstheme="majorHAnsi"/>
                <w:sz w:val="20"/>
              </w:rPr>
              <w:t xml:space="preserve">70-kV outage could last longer </w:t>
            </w:r>
            <w:r>
              <w:rPr>
                <w:rFonts w:asciiTheme="majorHAnsi" w:hAnsiTheme="majorHAnsi" w:cstheme="majorHAnsi"/>
                <w:sz w:val="20"/>
              </w:rPr>
              <w:t xml:space="preserve">than this </w:t>
            </w:r>
            <w:r w:rsidRPr="000519D2">
              <w:rPr>
                <w:rFonts w:asciiTheme="majorHAnsi" w:hAnsiTheme="majorHAnsi" w:cstheme="majorHAnsi"/>
                <w:sz w:val="20"/>
              </w:rPr>
              <w:t xml:space="preserve">and subsequent outages could </w:t>
            </w:r>
            <w:r>
              <w:rPr>
                <w:rFonts w:asciiTheme="majorHAnsi" w:hAnsiTheme="majorHAnsi" w:cstheme="majorHAnsi"/>
                <w:sz w:val="20"/>
              </w:rPr>
              <w:t xml:space="preserve">also </w:t>
            </w:r>
            <w:r w:rsidRPr="000519D2">
              <w:rPr>
                <w:rFonts w:asciiTheme="majorHAnsi" w:hAnsiTheme="majorHAnsi" w:cstheme="majorHAnsi"/>
                <w:sz w:val="20"/>
              </w:rPr>
              <w:t>occur. Hence, the CAISO states that the battery system would need to recharge</w:t>
            </w:r>
            <w:r>
              <w:rPr>
                <w:rFonts w:asciiTheme="majorHAnsi" w:hAnsiTheme="majorHAnsi" w:cstheme="majorHAnsi"/>
                <w:sz w:val="20"/>
              </w:rPr>
              <w:t xml:space="preserve"> but also states that </w:t>
            </w:r>
            <w:r w:rsidRPr="000519D2">
              <w:rPr>
                <w:rFonts w:asciiTheme="majorHAnsi" w:hAnsiTheme="majorHAnsi" w:cstheme="majorHAnsi"/>
                <w:sz w:val="20"/>
              </w:rPr>
              <w:t>the battery system could not be recharged in time to address subsequent outages or outages of a duration longer than 10 to 12 hours.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14:paraId="66AB6CC7" w14:textId="77777777" w:rsidR="00BD7206" w:rsidRPr="00BD7206" w:rsidRDefault="00BD7206" w:rsidP="00BD7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5B051037" w14:textId="13AF7580" w:rsidR="00BD7206" w:rsidRPr="001C695C" w:rsidRDefault="00BD7206" w:rsidP="00BD7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It can be inferred, then, that a longer duration battery could solve the issues identified by CAISO. Therefore, regardless of cost</w:t>
            </w:r>
            <w:r w:rsidRPr="000519D2">
              <w:rPr>
                <w:rFonts w:asciiTheme="majorHAnsi" w:hAnsiTheme="majorHAnsi" w:cstheme="majorHAnsi"/>
                <w:sz w:val="20"/>
              </w:rPr>
              <w:t xml:space="preserve">, in the CAISO’s view, what would be </w:t>
            </w:r>
            <w:r>
              <w:rPr>
                <w:rFonts w:asciiTheme="majorHAnsi" w:hAnsiTheme="majorHAnsi" w:cstheme="majorHAnsi"/>
                <w:sz w:val="20"/>
              </w:rPr>
              <w:t>a sufficient</w:t>
            </w:r>
            <w:r w:rsidRPr="000519D2">
              <w:rPr>
                <w:rFonts w:asciiTheme="majorHAnsi" w:hAnsiTheme="majorHAnsi" w:cstheme="majorHAnsi"/>
                <w:sz w:val="20"/>
              </w:rPr>
              <w:t xml:space="preserve"> battery duration to address the 70-kV reliability need?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6C4BFCF2" w14:textId="08BA01E5" w:rsidR="00BD7206" w:rsidRDefault="00BD7206" w:rsidP="00BD7206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5/21/19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3A33D07E" w14:textId="77777777" w:rsidR="00BD7206" w:rsidRDefault="00BD7206" w:rsidP="00BD7206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left w:w="43" w:type="dxa"/>
              <w:right w:w="14" w:type="dxa"/>
            </w:tcMar>
          </w:tcPr>
          <w:p w14:paraId="70D23FEC" w14:textId="77777777" w:rsidR="00BD7206" w:rsidRDefault="00BD7206" w:rsidP="00BD7206">
            <w:pPr>
              <w:keepLines/>
              <w:spacing w:before="40" w:after="40"/>
              <w:ind w:left="-36" w:right="-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4CEB2BE2" w14:textId="77777777" w:rsidR="00BD7206" w:rsidRDefault="00BD7206" w:rsidP="00BD7206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30CB117" w14:textId="32EB8F43" w:rsidR="00FB37A5" w:rsidRPr="00646DFB" w:rsidRDefault="00FB37A5">
      <w:pPr>
        <w:tabs>
          <w:tab w:val="left" w:pos="7960"/>
        </w:tabs>
        <w:rPr>
          <w:sz w:val="10"/>
        </w:rPr>
      </w:pPr>
    </w:p>
    <w:sectPr w:rsidR="00FB37A5" w:rsidRPr="00646DFB">
      <w:headerReference w:type="even" r:id="rId8"/>
      <w:headerReference w:type="default" r:id="rId9"/>
      <w:footerReference w:type="even" r:id="rId10"/>
      <w:footerReference w:type="default" r:id="rId11"/>
      <w:pgSz w:w="15840" w:h="12240"/>
      <w:pgMar w:top="1080" w:right="720" w:bottom="630" w:left="720" w:header="540" w:footer="4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68DE9" w14:textId="77777777" w:rsidR="002E572D" w:rsidRDefault="002E572D">
      <w:r>
        <w:separator/>
      </w:r>
    </w:p>
  </w:endnote>
  <w:endnote w:type="continuationSeparator" w:id="0">
    <w:p w14:paraId="2797F396" w14:textId="77777777" w:rsidR="002E572D" w:rsidRDefault="002E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756C1" w14:textId="77777777" w:rsidR="00FB37A5" w:rsidRDefault="004518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6F7E169" w14:textId="77777777" w:rsidR="00FB37A5" w:rsidRDefault="00FB37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A1BDB" w14:textId="77777777" w:rsidR="00FB37A5" w:rsidRDefault="004518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4490B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04490B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96569" w14:textId="77777777" w:rsidR="002E572D" w:rsidRDefault="002E572D">
      <w:r>
        <w:separator/>
      </w:r>
    </w:p>
  </w:footnote>
  <w:footnote w:type="continuationSeparator" w:id="0">
    <w:p w14:paraId="122B639C" w14:textId="77777777" w:rsidR="002E572D" w:rsidRDefault="002E5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1EE6D" w14:textId="76AD672F" w:rsidR="00B955E7" w:rsidRDefault="002E572D">
    <w:pPr>
      <w:pStyle w:val="Header"/>
    </w:pPr>
    <w:r>
      <w:rPr>
        <w:noProof/>
      </w:rPr>
      <w:pict w14:anchorId="0F8B86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0.25pt;height:21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7C004" w14:textId="61BE51B8" w:rsidR="00FB37A5" w:rsidRDefault="00627CE5" w:rsidP="00627CE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60"/>
      <w:jc w:val="center"/>
      <w:rPr>
        <w:b/>
        <w:color w:val="000000"/>
      </w:rPr>
    </w:pPr>
    <w:r>
      <w:rPr>
        <w:b/>
        <w:color w:val="000000"/>
      </w:rPr>
      <w:t>Data Request No. 3</w:t>
    </w:r>
    <w:r w:rsidR="004518DA">
      <w:rPr>
        <w:b/>
        <w:color w:val="000000"/>
      </w:rPr>
      <w:t xml:space="preserve"> (</w:t>
    </w:r>
    <w:r>
      <w:rPr>
        <w:b/>
        <w:color w:val="000000"/>
      </w:rPr>
      <w:t>May 2</w:t>
    </w:r>
    <w:r w:rsidR="006461A6">
      <w:rPr>
        <w:b/>
        <w:color w:val="000000"/>
      </w:rPr>
      <w:t>1</w:t>
    </w:r>
    <w:r w:rsidR="00807199">
      <w:rPr>
        <w:b/>
        <w:color w:val="000000"/>
      </w:rPr>
      <w:t>, 2019</w:t>
    </w:r>
    <w:r w:rsidR="004518DA">
      <w:rPr>
        <w:b/>
        <w:color w:val="000000"/>
      </w:rPr>
      <w:t>) for the</w:t>
    </w:r>
    <w:r w:rsidR="004518DA">
      <w:rPr>
        <w:b/>
        <w:color w:val="000000"/>
      </w:rPr>
      <w:br/>
      <w:t>Estrella Substation and Paso Robles Area Reinforcement Project (A.17-01-023)</w:t>
    </w:r>
  </w:p>
  <w:p w14:paraId="378C6319" w14:textId="1FC27F5D" w:rsidR="00627CE5" w:rsidRPr="00627CE5" w:rsidRDefault="00627CE5" w:rsidP="00627CE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" w:after="120"/>
      <w:jc w:val="center"/>
      <w:rPr>
        <w:rFonts w:ascii="Arial" w:eastAsia="Arial" w:hAnsi="Arial" w:cs="Arial"/>
        <w:color w:val="000000"/>
        <w:sz w:val="8"/>
        <w:szCs w:val="8"/>
        <w:u w:val="single"/>
      </w:rPr>
    </w:pPr>
    <w:r w:rsidRPr="00627CE5">
      <w:rPr>
        <w:b/>
        <w:color w:val="000000"/>
        <w:u w:val="single"/>
      </w:rPr>
      <w:t>Information Requests for Commenting Parties on the Draft Alternatives Screening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8BB"/>
    <w:multiLevelType w:val="hybridMultilevel"/>
    <w:tmpl w:val="AFA83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5174"/>
    <w:multiLevelType w:val="hybridMultilevel"/>
    <w:tmpl w:val="2EDAF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F748B"/>
    <w:multiLevelType w:val="hybridMultilevel"/>
    <w:tmpl w:val="FD86A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6599F"/>
    <w:multiLevelType w:val="hybridMultilevel"/>
    <w:tmpl w:val="FE468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96590"/>
    <w:multiLevelType w:val="hybridMultilevel"/>
    <w:tmpl w:val="52304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F6802"/>
    <w:multiLevelType w:val="hybridMultilevel"/>
    <w:tmpl w:val="B5481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10696"/>
    <w:multiLevelType w:val="hybridMultilevel"/>
    <w:tmpl w:val="BEFEA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07482"/>
    <w:multiLevelType w:val="hybridMultilevel"/>
    <w:tmpl w:val="F5C8A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1039D"/>
    <w:multiLevelType w:val="hybridMultilevel"/>
    <w:tmpl w:val="34109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8693F"/>
    <w:multiLevelType w:val="hybridMultilevel"/>
    <w:tmpl w:val="34109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E6D15"/>
    <w:multiLevelType w:val="hybridMultilevel"/>
    <w:tmpl w:val="0B68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D5B83"/>
    <w:multiLevelType w:val="hybridMultilevel"/>
    <w:tmpl w:val="FD86A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E1003"/>
    <w:multiLevelType w:val="hybridMultilevel"/>
    <w:tmpl w:val="E300F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D4EFC"/>
    <w:multiLevelType w:val="hybridMultilevel"/>
    <w:tmpl w:val="D1846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E6764"/>
    <w:multiLevelType w:val="hybridMultilevel"/>
    <w:tmpl w:val="6A0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07725"/>
    <w:multiLevelType w:val="multilevel"/>
    <w:tmpl w:val="0D9C7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13"/>
  </w:num>
  <w:num w:numId="11">
    <w:abstractNumId w:val="12"/>
  </w:num>
  <w:num w:numId="12">
    <w:abstractNumId w:val="10"/>
  </w:num>
  <w:num w:numId="13">
    <w:abstractNumId w:val="14"/>
  </w:num>
  <w:num w:numId="14">
    <w:abstractNumId w:val="9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7A5"/>
    <w:rsid w:val="00006628"/>
    <w:rsid w:val="00010AEF"/>
    <w:rsid w:val="00037D6D"/>
    <w:rsid w:val="0004490B"/>
    <w:rsid w:val="000519D2"/>
    <w:rsid w:val="0005556B"/>
    <w:rsid w:val="00095CFD"/>
    <w:rsid w:val="000E0F0B"/>
    <w:rsid w:val="000E7F2F"/>
    <w:rsid w:val="000F4AB4"/>
    <w:rsid w:val="001771DF"/>
    <w:rsid w:val="001C695C"/>
    <w:rsid w:val="001E5F13"/>
    <w:rsid w:val="0021619B"/>
    <w:rsid w:val="00226FEF"/>
    <w:rsid w:val="002B035F"/>
    <w:rsid w:val="002C0DF6"/>
    <w:rsid w:val="002C232D"/>
    <w:rsid w:val="002E3F9B"/>
    <w:rsid w:val="002E572D"/>
    <w:rsid w:val="003279EF"/>
    <w:rsid w:val="0034310A"/>
    <w:rsid w:val="003621FC"/>
    <w:rsid w:val="003A0669"/>
    <w:rsid w:val="003A5609"/>
    <w:rsid w:val="003C49C1"/>
    <w:rsid w:val="003E2088"/>
    <w:rsid w:val="004518DA"/>
    <w:rsid w:val="0045251C"/>
    <w:rsid w:val="004649C7"/>
    <w:rsid w:val="00467686"/>
    <w:rsid w:val="004719C2"/>
    <w:rsid w:val="00486021"/>
    <w:rsid w:val="004B37C8"/>
    <w:rsid w:val="004D75D0"/>
    <w:rsid w:val="00510A57"/>
    <w:rsid w:val="005110EC"/>
    <w:rsid w:val="00527584"/>
    <w:rsid w:val="0053683C"/>
    <w:rsid w:val="00541F27"/>
    <w:rsid w:val="0056231F"/>
    <w:rsid w:val="00581327"/>
    <w:rsid w:val="00597DA4"/>
    <w:rsid w:val="005B1545"/>
    <w:rsid w:val="005B4956"/>
    <w:rsid w:val="005C5624"/>
    <w:rsid w:val="005C6299"/>
    <w:rsid w:val="005C7749"/>
    <w:rsid w:val="005F0145"/>
    <w:rsid w:val="005F27BF"/>
    <w:rsid w:val="00627CE5"/>
    <w:rsid w:val="0064060D"/>
    <w:rsid w:val="00643C61"/>
    <w:rsid w:val="006461A6"/>
    <w:rsid w:val="0064656A"/>
    <w:rsid w:val="00646DFB"/>
    <w:rsid w:val="0069392B"/>
    <w:rsid w:val="006C04B0"/>
    <w:rsid w:val="006D4887"/>
    <w:rsid w:val="006D706D"/>
    <w:rsid w:val="006F12EB"/>
    <w:rsid w:val="006F1F80"/>
    <w:rsid w:val="007017F2"/>
    <w:rsid w:val="007036C5"/>
    <w:rsid w:val="00711C3C"/>
    <w:rsid w:val="00723002"/>
    <w:rsid w:val="0075340D"/>
    <w:rsid w:val="00771E94"/>
    <w:rsid w:val="007856BA"/>
    <w:rsid w:val="00790C21"/>
    <w:rsid w:val="00791D40"/>
    <w:rsid w:val="007D4874"/>
    <w:rsid w:val="007D5159"/>
    <w:rsid w:val="007F0A65"/>
    <w:rsid w:val="007F0CB4"/>
    <w:rsid w:val="007F23ED"/>
    <w:rsid w:val="007F28A9"/>
    <w:rsid w:val="007F568A"/>
    <w:rsid w:val="00807199"/>
    <w:rsid w:val="00815803"/>
    <w:rsid w:val="00837E7B"/>
    <w:rsid w:val="00852308"/>
    <w:rsid w:val="008529AF"/>
    <w:rsid w:val="00870832"/>
    <w:rsid w:val="008A29AC"/>
    <w:rsid w:val="008A609B"/>
    <w:rsid w:val="008B0EA3"/>
    <w:rsid w:val="008D1452"/>
    <w:rsid w:val="00915B67"/>
    <w:rsid w:val="00930B91"/>
    <w:rsid w:val="00937B86"/>
    <w:rsid w:val="00951CEC"/>
    <w:rsid w:val="00960F7C"/>
    <w:rsid w:val="00971071"/>
    <w:rsid w:val="00995F23"/>
    <w:rsid w:val="0099770D"/>
    <w:rsid w:val="00997A16"/>
    <w:rsid w:val="009B3DFC"/>
    <w:rsid w:val="009C4BAE"/>
    <w:rsid w:val="009D5250"/>
    <w:rsid w:val="009D684A"/>
    <w:rsid w:val="009E046E"/>
    <w:rsid w:val="009F7000"/>
    <w:rsid w:val="00A250AA"/>
    <w:rsid w:val="00A534F6"/>
    <w:rsid w:val="00A85773"/>
    <w:rsid w:val="00AA3484"/>
    <w:rsid w:val="00AF3856"/>
    <w:rsid w:val="00B26ED2"/>
    <w:rsid w:val="00B55524"/>
    <w:rsid w:val="00B955E7"/>
    <w:rsid w:val="00BC3DBA"/>
    <w:rsid w:val="00BC5691"/>
    <w:rsid w:val="00BD7206"/>
    <w:rsid w:val="00C20610"/>
    <w:rsid w:val="00C22F1B"/>
    <w:rsid w:val="00C263B7"/>
    <w:rsid w:val="00C3264A"/>
    <w:rsid w:val="00C53867"/>
    <w:rsid w:val="00C665F6"/>
    <w:rsid w:val="00CD2528"/>
    <w:rsid w:val="00CE1665"/>
    <w:rsid w:val="00D23A52"/>
    <w:rsid w:val="00D30F5F"/>
    <w:rsid w:val="00D3585A"/>
    <w:rsid w:val="00D82A6B"/>
    <w:rsid w:val="00DB0039"/>
    <w:rsid w:val="00DB425C"/>
    <w:rsid w:val="00DD4B68"/>
    <w:rsid w:val="00DD7570"/>
    <w:rsid w:val="00DF08A3"/>
    <w:rsid w:val="00E16E0C"/>
    <w:rsid w:val="00E32739"/>
    <w:rsid w:val="00E62F61"/>
    <w:rsid w:val="00E83093"/>
    <w:rsid w:val="00E84F3E"/>
    <w:rsid w:val="00EC5B98"/>
    <w:rsid w:val="00EF0CDC"/>
    <w:rsid w:val="00F16EE6"/>
    <w:rsid w:val="00F300AB"/>
    <w:rsid w:val="00F51CF5"/>
    <w:rsid w:val="00F52F44"/>
    <w:rsid w:val="00F70A7E"/>
    <w:rsid w:val="00F72093"/>
    <w:rsid w:val="00F87E6B"/>
    <w:rsid w:val="00FB1168"/>
    <w:rsid w:val="00FB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6AD639C"/>
  <w15:docId w15:val="{B362F149-6CC7-43DE-A8DA-60E41E8A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15B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B67"/>
  </w:style>
  <w:style w:type="paragraph" w:styleId="Footer">
    <w:name w:val="footer"/>
    <w:basedOn w:val="Normal"/>
    <w:link w:val="FooterChar"/>
    <w:uiPriority w:val="99"/>
    <w:unhideWhenUsed/>
    <w:rsid w:val="00915B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B67"/>
  </w:style>
  <w:style w:type="paragraph" w:styleId="ListParagraph">
    <w:name w:val="List Paragraph"/>
    <w:basedOn w:val="Normal"/>
    <w:uiPriority w:val="34"/>
    <w:qFormat/>
    <w:rsid w:val="00951C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1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C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C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40FBC-1472-4771-B0E5-5AC43321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marketing@horizonh2o.com</dc:creator>
  <cp:lastModifiedBy>Peterson, Robert</cp:lastModifiedBy>
  <cp:revision>27</cp:revision>
  <dcterms:created xsi:type="dcterms:W3CDTF">2019-05-20T18:19:00Z</dcterms:created>
  <dcterms:modified xsi:type="dcterms:W3CDTF">2019-05-21T17:06:00Z</dcterms:modified>
</cp:coreProperties>
</file>